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eastAsiaTheme="minorEastAsia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 w:ascii="黑体" w:hAnsi="黑体" w:eastAsia="黑体" w:cs="黑体"/>
          <w:sz w:val="84"/>
          <w:szCs w:val="84"/>
          <w:lang w:val="en-US" w:eastAsia="zh-CN"/>
        </w:rPr>
      </w:pPr>
      <w:bookmarkStart w:id="0" w:name="_GoBack"/>
      <w:r>
        <w:rPr>
          <w:rFonts w:hint="eastAsia" w:ascii="黑体" w:hAnsi="黑体" w:eastAsia="黑体" w:cs="黑体"/>
          <w:sz w:val="84"/>
          <w:szCs w:val="84"/>
          <w:lang w:val="en-US" w:eastAsia="zh-CN"/>
        </w:rPr>
        <w:t>病例分析 历年真题</w:t>
      </w:r>
    </w:p>
    <w:bookmarkEnd w:id="0"/>
    <w:tbl>
      <w:tblPr>
        <w:tblStyle w:val="4"/>
        <w:tblpPr w:leftFromText="180" w:rightFromText="180" w:vertAnchor="text" w:horzAnchor="page" w:tblpXSpec="center" w:tblpY="360"/>
        <w:tblOverlap w:val="never"/>
        <w:tblW w:w="10540" w:type="dxa"/>
        <w:jc w:val="center"/>
        <w:shd w:val="clear" w:color="auto" w:fill="F8A460"/>
        <w:tblLayout w:type="autofit"/>
        <w:tblCellMar>
          <w:top w:w="0" w:type="dxa"/>
          <w:left w:w="10" w:type="dxa"/>
          <w:bottom w:w="0" w:type="dxa"/>
          <w:right w:w="10" w:type="dxa"/>
        </w:tblCellMar>
      </w:tblPr>
      <w:tblGrid>
        <w:gridCol w:w="2135"/>
        <w:gridCol w:w="7543"/>
        <w:gridCol w:w="862"/>
      </w:tblGrid>
      <w:tr>
        <w:tblPrEx>
          <w:shd w:val="clear" w:color="auto" w:fill="F8A460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606" w:hRule="exact"/>
          <w:jc w:val="center"/>
        </w:trPr>
        <w:tc>
          <w:tcPr>
            <w:tcW w:w="10540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8A460"/>
            <w:vAlign w:val="center"/>
          </w:tcPr>
          <w:p>
            <w:pPr>
              <w:spacing w:line="240" w:lineRule="auto"/>
              <w:jc w:val="center"/>
              <w:rPr>
                <w:rFonts w:hint="eastAsia" w:ascii="黑体" w:hAnsi="黑体" w:eastAsia="黑体" w:cs="黑体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  <w:u w:val="double"/>
                <w:shd w:val="clear"/>
                <w:lang w:val="en-US" w:eastAsia="zh-CN" w:bidi="zh-CN"/>
              </w:rPr>
              <w:t>今日实战</w:t>
            </w:r>
          </w:p>
        </w:tc>
      </w:tr>
      <w:tr>
        <w:tblPrEx>
          <w:shd w:val="clear" w:color="auto" w:fill="F8A460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192" w:hRule="exact"/>
          <w:jc w:val="center"/>
        </w:trPr>
        <w:tc>
          <w:tcPr>
            <w:tcW w:w="10540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22"/>
                <w:szCs w:val="22"/>
                <w:lang w:val="en-US" w:eastAsia="zh-CN" w:bidi="ar"/>
              </w:rPr>
              <w:t xml:space="preserve">南某，男，60岁，进城务工农民。 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22"/>
                <w:szCs w:val="22"/>
                <w:lang w:val="en-US" w:eastAsia="zh-CN" w:bidi="ar"/>
              </w:rPr>
              <w:t>发热、咳嗽1周来诊。患者劳累后发热，体温最高37.4℃，伴咳嗽、咯痰黄色粘稠量多，胸痛，心烦口渴，大便干结。查血常规:WBC11.7×10</w:t>
            </w:r>
            <w:r>
              <w:rPr>
                <w:rFonts w:hint="eastAsia" w:ascii="黑体" w:hAnsi="黑体" w:eastAsia="黑体" w:cs="黑体"/>
                <w:color w:val="000000"/>
                <w:kern w:val="0"/>
                <w:sz w:val="22"/>
                <w:szCs w:val="22"/>
                <w:vertAlign w:val="superscript"/>
                <w:lang w:val="en-US" w:eastAsia="zh-CN" w:bidi="ar"/>
              </w:rPr>
              <w:t>9</w:t>
            </w:r>
            <w:r>
              <w:rPr>
                <w:rFonts w:hint="eastAsia" w:ascii="黑体" w:hAnsi="黑体" w:eastAsia="黑体" w:cs="黑体"/>
                <w:color w:val="000000"/>
                <w:kern w:val="0"/>
                <w:sz w:val="22"/>
                <w:szCs w:val="22"/>
                <w:lang w:val="en-US" w:eastAsia="zh-CN" w:bidi="ar"/>
              </w:rPr>
              <w:t xml:space="preserve">/L，N79%，自服头孢呋辛酯3天后，热势降低，以午后低热为主，最高体温 37.4℃，咳嗽咯痰量不多，痰中带血丝，夜间盗汗，右侧胸痛，腰膝酸软，五心烦热，心烦失眠。 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22"/>
                <w:szCs w:val="22"/>
                <w:lang w:val="en-US" w:eastAsia="zh-CN" w:bidi="ar"/>
              </w:rPr>
              <w:t xml:space="preserve">查体:T:37.6℃ ，P:88次/分，R:18次/分，BP:120/80mmHg。右肺呼吸音稍粗，双肺未闻及干湿啰音。 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22"/>
                <w:szCs w:val="22"/>
                <w:lang w:val="en-US" w:eastAsia="zh-CN" w:bidi="ar"/>
              </w:rPr>
              <w:t xml:space="preserve">舌质红，苔少，脉细数。 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22"/>
                <w:szCs w:val="22"/>
                <w:lang w:val="en-US" w:eastAsia="zh-CN" w:bidi="ar"/>
              </w:rPr>
              <w:t>辅助检查:血常规正常，胸片提示右上肺片状模糊影，边界不清，痰中找到抗酸杆菌。</w:t>
            </w:r>
          </w:p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lang w:eastAsia="zh-CN"/>
              </w:rPr>
            </w:pPr>
          </w:p>
        </w:tc>
      </w:tr>
      <w:tr>
        <w:tblPrEx>
          <w:shd w:val="clear" w:color="auto" w:fill="F8A460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91" w:hRule="exact"/>
          <w:jc w:val="center"/>
        </w:trPr>
        <w:tc>
          <w:tcPr>
            <w:tcW w:w="10540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sz w:val="22"/>
                <w:szCs w:val="22"/>
              </w:rPr>
              <w:t>要求:根据上述摘要,在答题卡上完成书面分析</w:t>
            </w:r>
          </w:p>
        </w:tc>
      </w:tr>
      <w:tr>
        <w:tblPrEx>
          <w:shd w:val="clear" w:color="auto" w:fill="F8A460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44" w:hRule="exact"/>
          <w:jc w:val="center"/>
        </w:trPr>
        <w:tc>
          <w:tcPr>
            <w:tcW w:w="2135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80" w:after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sz w:val="22"/>
                <w:szCs w:val="22"/>
              </w:rPr>
              <w:t>项目</w:t>
            </w:r>
          </w:p>
        </w:tc>
        <w:tc>
          <w:tcPr>
            <w:tcW w:w="7543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80" w:after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sz w:val="22"/>
                <w:szCs w:val="22"/>
              </w:rPr>
              <w:t>评分标准</w:t>
            </w:r>
          </w:p>
        </w:tc>
        <w:tc>
          <w:tcPr>
            <w:tcW w:w="86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sz w:val="22"/>
                <w:szCs w:val="22"/>
              </w:rPr>
              <w:t>分值</w:t>
            </w:r>
          </w:p>
        </w:tc>
      </w:tr>
      <w:tr>
        <w:tblPrEx>
          <w:shd w:val="clear" w:color="auto" w:fill="F8A460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47" w:hRule="exact"/>
          <w:jc w:val="center"/>
        </w:trPr>
        <w:tc>
          <w:tcPr>
            <w:tcW w:w="2135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sz w:val="22"/>
                <w:szCs w:val="22"/>
              </w:rPr>
              <w:t>中医疾病诊断</w:t>
            </w:r>
          </w:p>
        </w:tc>
        <w:tc>
          <w:tcPr>
            <w:tcW w:w="7543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rPr>
                <w:rFonts w:hint="default" w:ascii="黑体" w:hAnsi="黑体" w:eastAsia="黑体" w:cs="黑体"/>
                <w:sz w:val="22"/>
                <w:szCs w:val="22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2"/>
                <w:szCs w:val="22"/>
                <w:lang w:val="en-US" w:eastAsia="zh-CN"/>
              </w:rPr>
              <w:t xml:space="preserve"> 肺痨</w:t>
            </w:r>
          </w:p>
        </w:tc>
        <w:tc>
          <w:tcPr>
            <w:tcW w:w="86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sz w:val="22"/>
                <w:szCs w:val="22"/>
                <w:lang w:eastAsia="zh-CN"/>
              </w:rPr>
            </w:pP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sz w:val="22"/>
                <w:szCs w:val="22"/>
                <w:lang w:val="en-US" w:eastAsia="zh-CN"/>
              </w:rPr>
              <w:t>2</w:t>
            </w:r>
          </w:p>
        </w:tc>
      </w:tr>
      <w:tr>
        <w:tblPrEx>
          <w:shd w:val="clear" w:color="auto" w:fill="F8A460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90" w:hRule="exact"/>
          <w:jc w:val="center"/>
        </w:trPr>
        <w:tc>
          <w:tcPr>
            <w:tcW w:w="2135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80" w:after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sz w:val="22"/>
                <w:szCs w:val="22"/>
              </w:rPr>
              <w:t>中医证候诊断</w:t>
            </w:r>
          </w:p>
        </w:tc>
        <w:tc>
          <w:tcPr>
            <w:tcW w:w="7543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rPr>
                <w:rFonts w:hint="default" w:ascii="黑体" w:hAnsi="黑体" w:eastAsia="黑体" w:cs="黑体"/>
                <w:sz w:val="22"/>
                <w:szCs w:val="22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2"/>
                <w:szCs w:val="22"/>
                <w:lang w:val="en-US" w:eastAsia="zh-CN"/>
              </w:rPr>
              <w:t xml:space="preserve"> 阴虚火旺证</w:t>
            </w:r>
          </w:p>
        </w:tc>
        <w:tc>
          <w:tcPr>
            <w:tcW w:w="86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sz w:val="22"/>
                <w:szCs w:val="22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sz w:val="22"/>
                <w:szCs w:val="22"/>
                <w:lang w:val="en-US" w:eastAsia="zh-CN"/>
              </w:rPr>
              <w:t>2</w:t>
            </w:r>
          </w:p>
        </w:tc>
      </w:tr>
      <w:tr>
        <w:tblPrEx>
          <w:shd w:val="clear" w:color="auto" w:fill="F8A460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635" w:hRule="exact"/>
          <w:jc w:val="center"/>
        </w:trPr>
        <w:tc>
          <w:tcPr>
            <w:tcW w:w="2135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80" w:after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sz w:val="22"/>
                <w:szCs w:val="22"/>
              </w:rPr>
            </w:pP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sz w:val="22"/>
                <w:szCs w:val="22"/>
              </w:rPr>
              <w:t>西医诊断</w:t>
            </w:r>
          </w:p>
        </w:tc>
        <w:tc>
          <w:tcPr>
            <w:tcW w:w="7543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rPr>
                <w:rFonts w:hint="default" w:ascii="黑体" w:hAnsi="黑体" w:eastAsia="黑体" w:cs="黑体"/>
                <w:sz w:val="22"/>
                <w:szCs w:val="22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2"/>
                <w:szCs w:val="22"/>
                <w:lang w:val="en-US" w:eastAsia="zh-CN"/>
              </w:rPr>
              <w:t xml:space="preserve"> 肺结核</w:t>
            </w:r>
          </w:p>
        </w:tc>
        <w:tc>
          <w:tcPr>
            <w:tcW w:w="86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sz w:val="22"/>
                <w:szCs w:val="22"/>
              </w:rPr>
            </w:pP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sz w:val="22"/>
                <w:szCs w:val="22"/>
                <w:lang w:val="en-US" w:eastAsia="zh-CN"/>
              </w:rPr>
              <w:t>2</w:t>
            </w:r>
          </w:p>
        </w:tc>
      </w:tr>
      <w:tr>
        <w:tblPrEx>
          <w:shd w:val="clear" w:color="auto" w:fill="F8A460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829" w:hRule="exact"/>
          <w:jc w:val="center"/>
        </w:trPr>
        <w:tc>
          <w:tcPr>
            <w:tcW w:w="2135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ascii="黑体" w:hAnsi="宋体" w:eastAsia="黑体" w:cs="黑体"/>
                <w:color w:val="000000"/>
                <w:kern w:val="0"/>
                <w:sz w:val="22"/>
                <w:szCs w:val="22"/>
                <w:lang w:val="en-US" w:eastAsia="zh-CN" w:bidi="ar"/>
              </w:rPr>
              <w:t>西医诊断依据</w:t>
            </w:r>
          </w:p>
        </w:tc>
        <w:tc>
          <w:tcPr>
            <w:tcW w:w="7543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黑体" w:hAnsi="黑体" w:eastAsia="黑体" w:cs="黑体"/>
                <w:color w:val="000000"/>
                <w:kern w:val="0"/>
                <w:sz w:val="22"/>
                <w:szCs w:val="22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22"/>
                <w:szCs w:val="22"/>
                <w:lang w:val="en-US" w:eastAsia="zh-CN" w:bidi="ar"/>
              </w:rPr>
              <w:t xml:space="preserve">有较密切的结核病接触史，起病可急可缓，多为低热、盗汗、咳痰、咯血、胸痛、不同程度胸闷或呼吸困难。 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黑体" w:hAnsi="黑体" w:eastAsia="黑体" w:cs="黑体"/>
                <w:color w:val="000000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22"/>
                <w:szCs w:val="22"/>
                <w:lang w:val="en-US" w:eastAsia="zh-CN" w:bidi="ar"/>
              </w:rPr>
              <w:t>实验室检查:白细胞计数正常或轻度增高，血沉增快，痰培养结核杆菌聚合酶链式反应(PCR)阳性，结核菌素试验阳性，影像学检查:胸部X线检查为诊断肺结核的必备手段。痰中找到抗酸杆菌方可确诊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黑体" w:hAnsi="黑体" w:eastAsia="黑体" w:cs="黑体"/>
                <w:color w:val="000000"/>
                <w:kern w:val="0"/>
                <w:sz w:val="22"/>
                <w:szCs w:val="22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黑体" w:hAnsi="黑体" w:eastAsia="黑体" w:cs="黑体"/>
                <w:sz w:val="22"/>
                <w:szCs w:val="22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黑体" w:hAnsi="黑体" w:eastAsia="黑体" w:cs="黑体"/>
                <w:color w:val="000000"/>
                <w:kern w:val="0"/>
                <w:sz w:val="22"/>
                <w:szCs w:val="22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right="0" w:rightChars="0"/>
              <w:jc w:val="left"/>
              <w:rPr>
                <w:rFonts w:hint="eastAsia" w:ascii="黑体" w:hAnsi="黑体" w:eastAsia="黑体" w:cs="黑体"/>
                <w:sz w:val="22"/>
                <w:szCs w:val="22"/>
                <w:lang w:eastAsia="zh-CN"/>
              </w:rPr>
            </w:pPr>
          </w:p>
        </w:tc>
        <w:tc>
          <w:tcPr>
            <w:tcW w:w="86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sz w:val="22"/>
                <w:szCs w:val="22"/>
              </w:rPr>
              <w:t>4</w:t>
            </w:r>
          </w:p>
        </w:tc>
      </w:tr>
      <w:tr>
        <w:tblPrEx>
          <w:shd w:val="clear" w:color="auto" w:fill="F8A460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34" w:hRule="exact"/>
          <w:jc w:val="center"/>
        </w:trPr>
        <w:tc>
          <w:tcPr>
            <w:tcW w:w="2135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pStyle w:val="8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leftChars="0" w:right="0" w:rightChars="0" w:firstLine="0" w:firstLineChars="0"/>
              <w:jc w:val="center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sz w:val="22"/>
                <w:szCs w:val="22"/>
                <w:lang w:val="en-US" w:eastAsia="zh-CN"/>
              </w:rPr>
              <w:t>中医治法</w:t>
            </w:r>
          </w:p>
        </w:tc>
        <w:tc>
          <w:tcPr>
            <w:tcW w:w="7543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both"/>
              <w:rPr>
                <w:rFonts w:hint="default" w:ascii="黑体" w:hAnsi="黑体" w:eastAsia="黑体" w:cs="黑体"/>
                <w:sz w:val="22"/>
                <w:szCs w:val="22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2"/>
                <w:szCs w:val="22"/>
                <w:lang w:val="en-US" w:eastAsia="zh-CN"/>
              </w:rPr>
              <w:t xml:space="preserve"> 滋阴降火</w:t>
            </w:r>
          </w:p>
        </w:tc>
        <w:tc>
          <w:tcPr>
            <w:tcW w:w="86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hint="eastAsia" w:ascii="黑体" w:hAnsi="黑体" w:eastAsia="黑体" w:cs="黑体"/>
                <w:sz w:val="22"/>
                <w:szCs w:val="22"/>
                <w:lang w:val="en-US" w:eastAsia="zh-CN"/>
              </w:rPr>
              <w:t>2</w:t>
            </w:r>
          </w:p>
        </w:tc>
      </w:tr>
      <w:tr>
        <w:tblPrEx>
          <w:shd w:val="clear" w:color="auto" w:fill="F8A460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58" w:hRule="exact"/>
          <w:jc w:val="center"/>
        </w:trPr>
        <w:tc>
          <w:tcPr>
            <w:tcW w:w="2135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pStyle w:val="8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leftChars="0" w:right="0" w:rightChars="0" w:firstLine="0" w:firstLineChars="0"/>
              <w:jc w:val="center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sz w:val="22"/>
                <w:szCs w:val="22"/>
                <w:lang w:val="en-US" w:eastAsia="zh-CN"/>
              </w:rPr>
              <w:t>方剂名称</w:t>
            </w:r>
          </w:p>
        </w:tc>
        <w:tc>
          <w:tcPr>
            <w:tcW w:w="7543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rPr>
                <w:rFonts w:hint="default" w:ascii="黑体" w:hAnsi="黑体" w:eastAsia="黑体" w:cs="黑体"/>
                <w:sz w:val="22"/>
                <w:szCs w:val="22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2"/>
                <w:szCs w:val="22"/>
                <w:lang w:val="en-US" w:eastAsia="zh-CN"/>
              </w:rPr>
              <w:t xml:space="preserve"> 百合固金汤合秦艽鳖甲散加减</w:t>
            </w:r>
          </w:p>
        </w:tc>
        <w:tc>
          <w:tcPr>
            <w:tcW w:w="86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sz w:val="22"/>
                <w:szCs w:val="22"/>
              </w:rPr>
              <w:t>2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558" w:hRule="exact"/>
          <w:jc w:val="center"/>
        </w:trPr>
        <w:tc>
          <w:tcPr>
            <w:tcW w:w="2135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pStyle w:val="8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sz w:val="22"/>
                <w:szCs w:val="22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sz w:val="22"/>
                <w:szCs w:val="22"/>
                <w:lang w:val="en-US" w:eastAsia="zh-CN"/>
              </w:rPr>
              <w:t>药物组成、剂量及</w:t>
            </w:r>
          </w:p>
          <w:p>
            <w:pPr>
              <w:pStyle w:val="8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leftChars="0" w:right="0" w:rightChars="0" w:firstLine="0" w:firstLineChars="0"/>
              <w:jc w:val="center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sz w:val="22"/>
                <w:szCs w:val="22"/>
                <w:lang w:val="en-US" w:eastAsia="zh-CN"/>
              </w:rPr>
              <w:t>煎服法</w:t>
            </w:r>
          </w:p>
        </w:tc>
        <w:tc>
          <w:tcPr>
            <w:tcW w:w="7543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tabs>
                <w:tab w:val="left" w:pos="699"/>
              </w:tabs>
              <w:jc w:val="left"/>
              <w:rPr>
                <w:rFonts w:hint="eastAsia" w:ascii="黑体" w:hAnsi="黑体" w:eastAsia="黑体" w:cs="黑体"/>
                <w:sz w:val="22"/>
                <w:szCs w:val="22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2"/>
                <w:szCs w:val="22"/>
                <w:lang w:val="en-US" w:eastAsia="zh-CN"/>
              </w:rPr>
              <w:t xml:space="preserve">熟地 15g  甘草 5g  麦冬 12g  生地 15g  桔梗 6g  百合 12g </w:t>
            </w:r>
          </w:p>
          <w:p>
            <w:pPr>
              <w:keepNext w:val="0"/>
              <w:keepLines w:val="0"/>
              <w:widowControl/>
              <w:suppressLineNumbers w:val="0"/>
              <w:tabs>
                <w:tab w:val="left" w:pos="699"/>
              </w:tabs>
              <w:jc w:val="left"/>
              <w:rPr>
                <w:rFonts w:hint="eastAsia" w:ascii="黑体" w:hAnsi="黑体" w:eastAsia="黑体" w:cs="黑体"/>
                <w:sz w:val="22"/>
                <w:szCs w:val="22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2"/>
                <w:szCs w:val="22"/>
                <w:lang w:val="en-US" w:eastAsia="zh-CN"/>
              </w:rPr>
              <w:t>当归 12g  白芍 10g  元参 12g  贝母 10g  白及 10g  百部10g</w:t>
            </w:r>
          </w:p>
          <w:p>
            <w:pPr>
              <w:keepNext w:val="0"/>
              <w:keepLines w:val="0"/>
              <w:widowControl/>
              <w:suppressLineNumbers w:val="0"/>
              <w:tabs>
                <w:tab w:val="left" w:pos="699"/>
              </w:tabs>
              <w:jc w:val="left"/>
              <w:rPr>
                <w:rFonts w:hint="default" w:ascii="黑体" w:hAnsi="黑体" w:eastAsia="黑体" w:cs="黑体"/>
                <w:sz w:val="22"/>
                <w:szCs w:val="22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2"/>
                <w:szCs w:val="22"/>
                <w:lang w:val="en-US" w:eastAsia="zh-CN"/>
              </w:rPr>
              <w:t>秦艽 15g  鳖甲 15g  柴胡 10g</w:t>
            </w:r>
          </w:p>
          <w:p>
            <w:pPr>
              <w:keepNext w:val="0"/>
              <w:keepLines w:val="0"/>
              <w:widowControl/>
              <w:suppressLineNumbers w:val="0"/>
              <w:tabs>
                <w:tab w:val="left" w:pos="699"/>
              </w:tabs>
              <w:jc w:val="left"/>
              <w:rPr>
                <w:rFonts w:hint="default" w:ascii="黑体" w:hAnsi="黑体" w:eastAsia="黑体" w:cs="黑体"/>
                <w:sz w:val="22"/>
                <w:szCs w:val="22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2"/>
                <w:szCs w:val="22"/>
                <w:lang w:val="en-US" w:eastAsia="zh-CN"/>
              </w:rPr>
              <w:t xml:space="preserve">3剂，水煎服。每日1剂，早晚分服 </w:t>
            </w:r>
          </w:p>
        </w:tc>
        <w:tc>
          <w:tcPr>
            <w:tcW w:w="86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sz w:val="22"/>
                <w:szCs w:val="22"/>
              </w:rPr>
              <w:t>2</w:t>
            </w:r>
          </w:p>
        </w:tc>
      </w:tr>
      <w:tr>
        <w:tblPrEx>
          <w:shd w:val="clear" w:color="auto" w:fill="F8A460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794" w:hRule="exact"/>
          <w:jc w:val="center"/>
        </w:trPr>
        <w:tc>
          <w:tcPr>
            <w:tcW w:w="2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ascii="黑体" w:hAnsi="宋体" w:eastAsia="黑体" w:cs="黑体"/>
                <w:color w:val="000000"/>
                <w:kern w:val="0"/>
                <w:sz w:val="22"/>
                <w:szCs w:val="22"/>
                <w:lang w:val="en-US" w:eastAsia="zh-CN" w:bidi="ar"/>
              </w:rPr>
              <w:t>西医治疗措施</w:t>
            </w:r>
          </w:p>
        </w:tc>
        <w:tc>
          <w:tcPr>
            <w:tcW w:w="75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黑体" w:hAnsi="黑体" w:eastAsia="黑体" w:cs="黑体"/>
                <w:color w:val="000000"/>
                <w:kern w:val="0"/>
                <w:sz w:val="22"/>
                <w:szCs w:val="22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22"/>
                <w:szCs w:val="22"/>
                <w:lang w:val="en-US" w:eastAsia="zh-CN" w:bidi="ar"/>
              </w:rPr>
              <w:t xml:space="preserve">1.抗结核化学治疗，患者无结核病史，选择2HRZE/4HR方案。 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22"/>
                <w:szCs w:val="22"/>
                <w:lang w:val="en-US" w:eastAsia="zh-CN" w:bidi="ar"/>
              </w:rPr>
              <w:t>2.强化期使用异烟肼、利福平、吡嗪酰胺片和乙胺丁醇，巩固期使用异烟肼、利福平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right="0" w:rightChars="0"/>
              <w:jc w:val="left"/>
              <w:rPr>
                <w:rFonts w:hint="eastAsia" w:ascii="黑体" w:hAnsi="黑体" w:eastAsia="黑体" w:cs="黑体"/>
                <w:sz w:val="22"/>
                <w:szCs w:val="22"/>
                <w:lang w:val="en-US" w:eastAsia="zh-CN"/>
              </w:rPr>
            </w:pPr>
          </w:p>
        </w:tc>
        <w:tc>
          <w:tcPr>
            <w:tcW w:w="8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sz w:val="22"/>
                <w:szCs w:val="22"/>
                <w:lang w:val="en-US" w:eastAsia="zh-CN"/>
              </w:rPr>
              <w:t>4</w:t>
            </w:r>
          </w:p>
        </w:tc>
      </w:tr>
    </w:tbl>
    <w:p>
      <w:pPr>
        <w:autoSpaceDE w:val="0"/>
        <w:autoSpaceDN w:val="0"/>
        <w:spacing w:before="176" w:after="54" w:line="360" w:lineRule="auto"/>
        <w:ind w:right="201"/>
        <w:jc w:val="both"/>
        <w:rPr>
          <w:rFonts w:hint="eastAsia" w:ascii="微软雅黑" w:hAnsi="微软雅黑" w:eastAsia="微软雅黑" w:cs="微软雅黑"/>
          <w:sz w:val="72"/>
          <w:szCs w:val="144"/>
          <w:lang w:val="en-US" w:eastAsia="zh-CN"/>
        </w:rPr>
      </w:pPr>
    </w:p>
    <w:p>
      <w:pPr>
        <w:autoSpaceDE w:val="0"/>
        <w:autoSpaceDN w:val="0"/>
        <w:spacing w:before="176" w:after="54" w:line="360" w:lineRule="auto"/>
        <w:ind w:right="201"/>
        <w:jc w:val="both"/>
        <w:rPr>
          <w:rFonts w:hint="default" w:ascii="微软雅黑" w:hAnsi="微软雅黑" w:eastAsia="微软雅黑" w:cs="微软雅黑"/>
          <w:sz w:val="72"/>
          <w:szCs w:val="144"/>
          <w:lang w:val="en-US" w:eastAsia="zh-CN"/>
        </w:rPr>
      </w:pPr>
    </w:p>
    <w:p>
      <w:pPr>
        <w:ind w:left="836" w:leftChars="398" w:right="764" w:rightChars="364" w:firstLine="3"/>
        <w:jc w:val="both"/>
        <w:rPr>
          <w:rFonts w:hint="default" w:eastAsiaTheme="minorEastAsia"/>
          <w:lang w:val="en-US" w:eastAsia="zh-CN"/>
        </w:rPr>
      </w:pPr>
    </w:p>
    <w:sectPr>
      <w:headerReference r:id="rId3" w:type="default"/>
      <w:pgSz w:w="11906" w:h="16838"/>
      <w:pgMar w:top="0" w:right="0" w:bottom="0" w:left="0" w:header="0" w:footer="0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77044C0C-415B-44D2-9AF0-9A84B258E06B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2" w:fontKey="{837339C8-5EF5-41F6-838C-6891B0EF6CCF}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  <w:embedRegular r:id="rId3" w:fontKey="{7FFA56F6-5893-40ED-A816-5364CD1AE4BC}"/>
  </w:font>
  <w:font w:name="Arial Black">
    <w:panose1 w:val="020B0A04020102090204"/>
    <w:charset w:val="00"/>
    <w:family w:val="auto"/>
    <w:pitch w:val="default"/>
    <w:sig w:usb0="A00002AF" w:usb1="400078FB" w:usb2="00000000" w:usb3="00000000" w:csb0="6000009F" w:csb1="DFD70000"/>
  </w:font>
  <w:font w:name="汉仪晓波敦黑W">
    <w:panose1 w:val="00020600040101010101"/>
    <w:charset w:val="86"/>
    <w:family w:val="auto"/>
    <w:pitch w:val="default"/>
    <w:sig w:usb0="8000002F" w:usb1="2A01780A" w:usb2="00000016" w:usb3="00000000" w:csb0="000400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rPr>
        <w:rFonts w:hint="default"/>
        <w:lang w:val="en-US"/>
      </w:rPr>
    </w:pPr>
    <w:r>
      <w:rPr>
        <w:sz w:val="18"/>
      </w:rPr>
      <w:pict>
        <v:shape id="PowerPlusWaterMarkObject37549" o:spid="_x0000_s4099" o:spt="136" type="#_x0000_t136" style="position:absolute;left:0pt;height:105.65pt;width:452.8pt;mso-position-horizontal:center;mso-position-horizontal-relative:margin;mso-position-vertical:center;mso-position-vertical-relative:margin;rotation:-2949120f;z-index:-251657216;mso-width-relative:page;mso-height-relative:page;" fillcolor="#C0C0C0" filled="t" stroked="f" coordsize="21600,21600" adj="10800">
          <v:path/>
          <v:fill on="t" opacity="32768f" focussize="0,0"/>
          <v:stroke on="f"/>
          <v:imagedata o:title=""/>
          <o:lock v:ext="edit" aspectratio="t"/>
          <v:textpath on="t" fitshape="t" fitpath="t" trim="t" xscale="f" string="金英杰医学" style="font-family:方正大黑_GBK;font-size:96pt;v-same-letter-heights:f;v-text-align:center;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Y5NGMxZWUxMGVlMmQ0YjEyOWI1MTk0MTEwYzI2YjEifQ=="/>
  </w:docVars>
  <w:rsids>
    <w:rsidRoot w:val="21743A74"/>
    <w:rsid w:val="04ED064B"/>
    <w:rsid w:val="05B21C63"/>
    <w:rsid w:val="0AD81D75"/>
    <w:rsid w:val="0B9A74DF"/>
    <w:rsid w:val="0C957779"/>
    <w:rsid w:val="0EA868A2"/>
    <w:rsid w:val="0F4346AC"/>
    <w:rsid w:val="11D5590D"/>
    <w:rsid w:val="14B50166"/>
    <w:rsid w:val="18D95880"/>
    <w:rsid w:val="1ABF7296"/>
    <w:rsid w:val="1B4A5B19"/>
    <w:rsid w:val="1C5339C7"/>
    <w:rsid w:val="1D785382"/>
    <w:rsid w:val="1E18790F"/>
    <w:rsid w:val="1E785AFE"/>
    <w:rsid w:val="1E9B4F01"/>
    <w:rsid w:val="21743A74"/>
    <w:rsid w:val="22C34341"/>
    <w:rsid w:val="24AE00AB"/>
    <w:rsid w:val="24C67A22"/>
    <w:rsid w:val="24FF28EB"/>
    <w:rsid w:val="25B411AA"/>
    <w:rsid w:val="25E71BBB"/>
    <w:rsid w:val="284C476F"/>
    <w:rsid w:val="293C1CCB"/>
    <w:rsid w:val="2AFA6059"/>
    <w:rsid w:val="2C571A52"/>
    <w:rsid w:val="2DB11966"/>
    <w:rsid w:val="30D82751"/>
    <w:rsid w:val="31F2224A"/>
    <w:rsid w:val="32727B5E"/>
    <w:rsid w:val="32F86D42"/>
    <w:rsid w:val="332E01EA"/>
    <w:rsid w:val="366D310F"/>
    <w:rsid w:val="37B56335"/>
    <w:rsid w:val="383D7A82"/>
    <w:rsid w:val="38B67CF6"/>
    <w:rsid w:val="3942720C"/>
    <w:rsid w:val="3A1E57D9"/>
    <w:rsid w:val="3A3E6C77"/>
    <w:rsid w:val="3BB84E1D"/>
    <w:rsid w:val="3D0B7405"/>
    <w:rsid w:val="40E902C9"/>
    <w:rsid w:val="42D7676C"/>
    <w:rsid w:val="476970F7"/>
    <w:rsid w:val="48967C7F"/>
    <w:rsid w:val="4A5D57E8"/>
    <w:rsid w:val="4AA70E49"/>
    <w:rsid w:val="50605E2A"/>
    <w:rsid w:val="51C57F9D"/>
    <w:rsid w:val="532B5986"/>
    <w:rsid w:val="558A100E"/>
    <w:rsid w:val="5999137D"/>
    <w:rsid w:val="5B310F02"/>
    <w:rsid w:val="5C4A4B85"/>
    <w:rsid w:val="62DE6D84"/>
    <w:rsid w:val="671D35ED"/>
    <w:rsid w:val="6764746E"/>
    <w:rsid w:val="6A7E0847"/>
    <w:rsid w:val="6ABB1E4F"/>
    <w:rsid w:val="6DA90382"/>
    <w:rsid w:val="6F062DC0"/>
    <w:rsid w:val="71B203BA"/>
    <w:rsid w:val="7577036C"/>
    <w:rsid w:val="75944F83"/>
    <w:rsid w:val="780D7C55"/>
    <w:rsid w:val="7A6A012E"/>
    <w:rsid w:val="7BE75B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6">
    <w:name w:val="List Paragraph"/>
    <w:basedOn w:val="1"/>
    <w:qFormat/>
    <w:uiPriority w:val="34"/>
    <w:pPr>
      <w:widowControl/>
      <w:adjustRightInd w:val="0"/>
      <w:snapToGrid w:val="0"/>
      <w:spacing w:after="200"/>
      <w:ind w:firstLine="420" w:firstLineChars="200"/>
      <w:jc w:val="left"/>
    </w:pPr>
    <w:rPr>
      <w:rFonts w:ascii="Tahoma" w:hAnsi="Tahoma" w:eastAsia="微软雅黑" w:cs="Times New Roman"/>
      <w:kern w:val="0"/>
      <w:sz w:val="22"/>
      <w:szCs w:val="22"/>
    </w:rPr>
  </w:style>
  <w:style w:type="paragraph" w:customStyle="1" w:styleId="7">
    <w:name w:val="Table Paragraph"/>
    <w:basedOn w:val="1"/>
    <w:qFormat/>
    <w:uiPriority w:val="1"/>
    <w:pPr>
      <w:spacing w:line="292" w:lineRule="exact"/>
      <w:jc w:val="center"/>
    </w:pPr>
    <w:rPr>
      <w:rFonts w:ascii="微软雅黑" w:hAnsi="微软雅黑" w:eastAsia="微软雅黑" w:cs="微软雅黑"/>
      <w:lang w:val="zh-CN" w:eastAsia="zh-CN" w:bidi="zh-CN"/>
    </w:rPr>
  </w:style>
  <w:style w:type="paragraph" w:customStyle="1" w:styleId="8">
    <w:name w:val="Other|1"/>
    <w:basedOn w:val="1"/>
    <w:qFormat/>
    <w:uiPriority w:val="0"/>
    <w:pPr>
      <w:widowControl w:val="0"/>
      <w:shd w:val="clear" w:color="auto" w:fill="auto"/>
    </w:pPr>
    <w:rPr>
      <w:rFonts w:ascii="宋体" w:hAnsi="宋体" w:eastAsia="宋体" w:cs="宋体"/>
      <w:sz w:val="16"/>
      <w:szCs w:val="16"/>
      <w:u w:val="none"/>
      <w:shd w:val="clear" w:color="auto" w:fill="auto"/>
      <w:lang w:val="zh-TW" w:eastAsia="zh-TW" w:bidi="zh-TW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9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609</Words>
  <Characters>696</Characters>
  <Lines>0</Lines>
  <Paragraphs>0</Paragraphs>
  <TotalTime>0</TotalTime>
  <ScaleCrop>false</ScaleCrop>
  <LinksUpToDate>false</LinksUpToDate>
  <CharactersWithSpaces>749</CharactersWithSpaces>
  <Application>WPS Office_11.1.0.11744_F1E327BC-269C-435d-A152-05C5408002CA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2022-03-05T08:36:00Z</dcterms:created>
  <dc:creator>李歆然Nicole</dc:creator>
  <cp:lastModifiedBy>赵静～Claire</cp:lastModifiedBy>
  <dcterms:modified xsi:type="dcterms:W3CDTF">2022-05-23T09:13:11Z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2052-11.1.0.11744</vt:lpwstr>
  </property>
  <property fmtid="{D5CDD505-2E9C-101B-9397-08002B2CF9AE}" pid="3" name="ICV">
    <vt:lpwstr>64866D1FC1FE424D992482EC1A056BDA</vt:lpwstr>
  </property>
</Properties>
</file>